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ind w:right="0" w:hanging="0"/>
        <w:jc w:val="center"/>
        <w:rPr>
          <w:color w:val="auto"/>
        </w:rPr>
      </w:pPr>
      <w:r>
        <w:rPr>
          <w:rFonts w:ascii="Times New Roman" w:hAnsi="Times New Roman"/>
          <w:b w:val="false"/>
          <w:bCs w:val="false"/>
          <w:color w:val="auto"/>
          <w:sz w:val="24"/>
          <w:szCs w:val="24"/>
        </w:rPr>
        <w:t>Ф</w:t>
      </w:r>
      <w:r>
        <w:rPr>
          <w:rFonts w:ascii="Times New Roman" w:hAnsi="Times New Roman"/>
          <w:b w:val="false"/>
          <w:bCs w:val="false"/>
          <w:color w:val="auto"/>
          <w:sz w:val="24"/>
          <w:szCs w:val="24"/>
        </w:rPr>
        <w:t>инансовый отчет</w:t>
      </w:r>
    </w:p>
    <w:p>
      <w:pPr>
        <w:pStyle w:val="Normal"/>
        <w:spacing w:lineRule="auto" w:line="276"/>
        <w:ind w:left="-454" w:right="0" w:hanging="0"/>
        <w:jc w:val="both"/>
        <w:rPr>
          <w:color w:val="auto"/>
        </w:rPr>
      </w:pPr>
      <w:r>
        <w:rPr>
          <w:rFonts w:cs="Calibri" w:ascii="Times New Roman" w:hAnsi="Times New Roman"/>
          <w:b w:val="false"/>
          <w:bCs w:val="false"/>
          <w:color w:val="auto"/>
          <w:sz w:val="24"/>
          <w:szCs w:val="24"/>
        </w:rPr>
        <w:t>о расходовании средств, предоставленных«</w:t>
      </w:r>
      <w:r>
        <w:rPr>
          <w:rFonts w:cs="Calibri" w:ascii="Times New Roman" w:hAnsi="Times New Roman"/>
          <w:b w:val="false"/>
          <w:bCs w:val="false"/>
          <w:color w:val="auto"/>
          <w:sz w:val="24"/>
          <w:szCs w:val="24"/>
          <w:shd w:fill="FFFFFF" w:val="clear"/>
        </w:rPr>
        <w:t xml:space="preserve">Калининградской региональной детско-молодежной общественной организации инвалидов «Мария» </w:t>
      </w:r>
      <w:r>
        <w:rPr>
          <w:rFonts w:cs="Calibri" w:ascii="Times New Roman" w:hAnsi="Times New Roman"/>
          <w:b w:val="false"/>
          <w:bCs w:val="false"/>
          <w:color w:val="auto"/>
          <w:sz w:val="24"/>
          <w:szCs w:val="24"/>
        </w:rPr>
        <w:t>по договору целевого благотворительного пожертвования в рамках благотворительной деятельности №</w:t>
      </w:r>
      <w:r>
        <w:rPr>
          <w:rFonts w:eastAsia="Times New Roman" w:cs="Calibri" w:ascii="Times New Roman" w:hAnsi="Times New Roman"/>
          <w:b w:val="false"/>
          <w:bCs w:val="false"/>
          <w:color w:val="auto"/>
          <w:sz w:val="24"/>
          <w:szCs w:val="24"/>
        </w:rPr>
        <w:t xml:space="preserve"> 18-2-000584</w:t>
      </w:r>
      <w:r>
        <w:rPr>
          <w:rFonts w:cs="Calibri" w:ascii="Times New Roman" w:hAnsi="Times New Roman"/>
          <w:b w:val="false"/>
          <w:bCs w:val="false"/>
          <w:color w:val="auto"/>
          <w:sz w:val="24"/>
          <w:szCs w:val="24"/>
        </w:rPr>
        <w:t xml:space="preserve"> Фонд президентских грантов.</w:t>
      </w:r>
    </w:p>
    <w:p>
      <w:pPr>
        <w:pStyle w:val="Normal"/>
        <w:spacing w:lineRule="auto" w:line="276"/>
        <w:ind w:left="-454" w:right="0" w:hanging="0"/>
        <w:jc w:val="both"/>
        <w:rPr>
          <w:color w:val="auto"/>
        </w:rPr>
      </w:pPr>
      <w:r>
        <w:rPr>
          <w:rFonts w:cs="Calibri" w:ascii="Times New Roman" w:hAnsi="Times New Roman"/>
          <w:b w:val="false"/>
          <w:bCs w:val="false"/>
          <w:i/>
          <w:color w:val="auto"/>
          <w:sz w:val="24"/>
          <w:szCs w:val="24"/>
        </w:rPr>
        <w:t>Развитие «Центра социальной реабилитации инвалидов» КРДМООИ «Мария».</w:t>
      </w:r>
    </w:p>
    <w:p>
      <w:pPr>
        <w:pStyle w:val="Normal"/>
        <w:spacing w:lineRule="auto" w:line="276"/>
        <w:ind w:left="-454" w:right="0" w:hanging="0"/>
        <w:jc w:val="both"/>
        <w:rPr>
          <w:b w:val="false"/>
          <w:b w:val="false"/>
          <w:bCs w:val="false"/>
          <w:color w:val="auto"/>
        </w:rPr>
      </w:pPr>
      <w:r>
        <w:rPr>
          <w:b w:val="false"/>
          <w:bCs w:val="false"/>
          <w:color w:val="auto"/>
        </w:rPr>
      </w:r>
    </w:p>
    <w:p>
      <w:pPr>
        <w:pStyle w:val="Normal"/>
        <w:spacing w:lineRule="auto" w:line="276"/>
        <w:ind w:left="-454" w:right="0" w:hanging="0"/>
        <w:jc w:val="both"/>
        <w:rPr>
          <w:color w:val="auto"/>
        </w:rPr>
      </w:pPr>
      <w:r>
        <w:rPr>
          <w:rFonts w:cs="Calibri" w:ascii="Times New Roman" w:hAnsi="Times New Roman"/>
          <w:b w:val="false"/>
          <w:bCs w:val="false"/>
          <w:i w:val="false"/>
          <w:iCs w:val="false"/>
          <w:color w:val="auto"/>
          <w:sz w:val="24"/>
          <w:szCs w:val="24"/>
        </w:rPr>
        <w:t>Наименование организации: «Калининградская региональная детско-молодёжная общественная организация инвалидов «Мария».</w:t>
        <w:tab/>
      </w:r>
    </w:p>
    <w:p>
      <w:pPr>
        <w:pStyle w:val="1"/>
        <w:spacing w:lineRule="auto" w:line="276"/>
        <w:ind w:left="-454" w:right="-737" w:hanging="0"/>
        <w:jc w:val="both"/>
        <w:rPr>
          <w:color w:val="auto"/>
        </w:rPr>
      </w:pPr>
      <w:r>
        <w:rPr>
          <w:rFonts w:cs="Calibri" w:ascii="Times New Roman" w:hAnsi="Times New Roman"/>
          <w:b w:val="false"/>
          <w:bCs w:val="false"/>
          <w:i w:val="false"/>
          <w:iCs w:val="false"/>
          <w:color w:val="auto"/>
          <w:sz w:val="24"/>
          <w:szCs w:val="24"/>
        </w:rPr>
        <w:t xml:space="preserve">Дата начала и окончания реализации проекта: </w:t>
      </w:r>
    </w:p>
    <w:p>
      <w:pPr>
        <w:pStyle w:val="Style14"/>
        <w:spacing w:lineRule="auto" w:line="276"/>
        <w:ind w:left="-454" w:right="0" w:hanging="0"/>
        <w:jc w:val="both"/>
        <w:rPr>
          <w:color w:val="auto"/>
        </w:rPr>
      </w:pPr>
      <w:r>
        <w:rPr>
          <w:rFonts w:cs="Calibri" w:ascii="Times New Roman" w:hAnsi="Times New Roman"/>
          <w:b w:val="false"/>
          <w:bCs w:val="false"/>
          <w:i w:val="false"/>
          <w:iCs w:val="false"/>
          <w:color w:val="auto"/>
          <w:sz w:val="24"/>
          <w:szCs w:val="24"/>
        </w:rPr>
        <w:t>01.12.2018 г. по 30.06.2019 г.</w:t>
      </w:r>
    </w:p>
    <w:p>
      <w:pPr>
        <w:pStyle w:val="1"/>
        <w:spacing w:lineRule="auto" w:line="276"/>
        <w:ind w:left="-454" w:right="0" w:hanging="0"/>
        <w:jc w:val="both"/>
        <w:rPr>
          <w:color w:val="auto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auto"/>
          <w:sz w:val="24"/>
          <w:szCs w:val="24"/>
        </w:rPr>
        <w:t>Краткое описание проекта:</w:t>
      </w:r>
    </w:p>
    <w:p>
      <w:pPr>
        <w:pStyle w:val="Style14"/>
        <w:spacing w:lineRule="auto" w:line="276"/>
        <w:ind w:left="-454" w:right="0" w:hanging="0"/>
        <w:jc w:val="both"/>
        <w:rPr>
          <w:b w:val="false"/>
          <w:b w:val="false"/>
          <w:bCs w:val="false"/>
          <w:color w:val="auto"/>
        </w:rPr>
      </w:pPr>
      <w:r>
        <w:rPr>
          <w:rFonts w:cs="Calibri" w:ascii="Times New Roman" w:hAnsi="Times New Roman"/>
          <w:b w:val="false"/>
          <w:bCs w:val="false"/>
          <w:color w:val="auto"/>
          <w:sz w:val="24"/>
          <w:szCs w:val="24"/>
        </w:rPr>
        <w:t xml:space="preserve">В 2018 году, при поддержке Фонда президентских грантов, начал работать специалист по методу Томатис (приобретено оборудование и подготовлен специалист 2 уровня). Метод основан на сенсорно-звуковой стимуляции мозга и направлен на развитие речи, моторных, эмоциональных и когнитивных способностей. За первые полгода работы получены положительные результаты в детской группе, состоящей из 12 ребят с тяжелой формой заболеваний (нуждающихся в индивидуальных занятиях с не продолжительными включениями в групповые коммуникации) и у 23 взрослых инвалидов Центра. Особенно заметны улучшения у людей, перенесших инсульт: восстановление речи, возвращение памяти и координации движения. Положительные результаты нашей работы и большая заинтересованность среди родителей детей, привели к расширению деятельности Центра, открытию детской группы раннего вмешательства. Работа в группе направлена на коррекцию речи, развитию концентрации внимания, координации движения, повышения коммуникативных качеств. В рамках проекта будет создан кабинет специального психолога и специалиста по выявлению и коррекции дефектов поведения с новым интерактивным оборудованием: это позволит создать комплексную услугу коррекционной помощи детям с ОВЗ по индивидуальным программам-графикам. Повышение профессионального уровня специалиста метода Томатис до 3 уровня даст новые возможности в подборке новых реабилитационных методик, а в некоторых тяжелых случаях и составления индивидуальных программ. Это позволит улучшить качество и увеличить количество оказываемых услуг. Проект позволит повысить качество жизни детей и взрослых с психическим, умственным, постинсультным нарушением, Синдромом Дауна, аутизмом, проживающих в Калининградской области. </w:t>
      </w:r>
    </w:p>
    <w:p>
      <w:pPr>
        <w:pStyle w:val="1"/>
        <w:spacing w:lineRule="auto" w:line="240"/>
        <w:ind w:left="-454" w:right="0" w:hanging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Общая сумма пожертвования : 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1 336 980,00 рублей. </w:t>
      </w:r>
    </w:p>
    <w:p>
      <w:pPr>
        <w:pStyle w:val="1"/>
        <w:spacing w:lineRule="auto" w:line="240"/>
        <w:ind w:left="-454" w:right="0" w:hanging="0"/>
        <w:rPr>
          <w:rFonts w:ascii="Times New Roman" w:hAnsi="Times New Roman" w:cs="Times New Roman"/>
          <w:color w:val="000000"/>
          <w:sz w:val="24"/>
          <w:szCs w:val="24"/>
        </w:rPr>
      </w:pPr>
      <w:r>
        <w:rPr/>
      </w:r>
    </w:p>
    <w:p>
      <w:pPr>
        <w:pStyle w:val="Normal"/>
        <w:widowControl w:val="false"/>
        <w:tabs>
          <w:tab w:val="left" w:pos="8865" w:leader="none"/>
        </w:tabs>
        <w:spacing w:lineRule="auto" w:line="240"/>
        <w:ind w:left="0" w:right="0" w:firstLine="540"/>
        <w:jc w:val="right"/>
        <w:rPr/>
      </w:pPr>
      <w:r>
        <w:rPr/>
      </w:r>
    </w:p>
    <w:tbl>
      <w:tblPr>
        <w:tblW w:w="10230" w:type="dxa"/>
        <w:jc w:val="left"/>
        <w:tblInd w:w="-39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855"/>
        <w:gridCol w:w="3405"/>
        <w:gridCol w:w="2220"/>
        <w:gridCol w:w="2205"/>
        <w:gridCol w:w="1545"/>
      </w:tblGrid>
      <w:tr>
        <w:trPr>
          <w:tblHeader w:val="true"/>
          <w:trHeight w:val="113" w:hRule="atLeast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Профинансировано грантодающей организацией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Израсходовано</w:t>
            </w:r>
          </w:p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фактически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Вклад организации</w:t>
            </w:r>
          </w:p>
        </w:tc>
      </w:tr>
      <w:tr>
        <w:trPr>
          <w:trHeight w:val="113" w:hRule="atLeast"/>
        </w:trPr>
        <w:tc>
          <w:tcPr>
            <w:tcW w:w="10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40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На оплату труда</w:t>
            </w:r>
          </w:p>
          <w:p>
            <w:pPr>
              <w:pStyle w:val="ConsPlusNormal"/>
              <w:spacing w:lineRule="auto" w:line="240"/>
              <w:ind w:left="0" w:hang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</w:tc>
      </w:tr>
      <w:tr>
        <w:trPr>
          <w:trHeight w:val="113" w:hRule="atLeast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4"/>
              <w:spacing w:lineRule="auto" w:line="240" w:before="6" w:after="6"/>
              <w:ind w:left="0" w:hanging="0"/>
              <w:jc w:val="center"/>
              <w:rPr/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  <w:t xml:space="preserve">Оплата труда штатных работников (руководитель проекта — 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  <w:t>занятость в проекте 30 %,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  <w:t xml:space="preserve"> бухгалтер проекта - занятость в проекте 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  <w:t xml:space="preserve">0%; специалист Томатис-терапии — занятость в проекте 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  <w:t>7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  <w:t>0%)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537 726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537 726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113" w:hRule="atLeast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4"/>
              <w:spacing w:lineRule="auto" w:line="240" w:before="6" w:after="6"/>
              <w:ind w:left="0" w:hanging="0"/>
              <w:jc w:val="center"/>
              <w:rPr/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  <w:t xml:space="preserve">Выплаты физическим лицам (за исключением индивидуальных предпринимателей) за оказание ими услуг (выполнение работ) по гражданско-правовым договорам (музыкальный терапевт — занятость в проекте 30 %, 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  <w:t>специальный психолог — занятость в проекте 30 %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  <w:t>)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71 288, 0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142 576, 0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71 288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0</w:t>
            </w:r>
          </w:p>
        </w:tc>
      </w:tr>
      <w:tr>
        <w:trPr>
          <w:trHeight w:val="113" w:hRule="atLeast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6" w:after="6"/>
              <w:ind w:left="0" w:hanging="0"/>
              <w:jc w:val="center"/>
              <w:rPr/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  <w:t>Итого по оплате труда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609 014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0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680 302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71 288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0</w:t>
            </w:r>
          </w:p>
        </w:tc>
      </w:tr>
      <w:tr>
        <w:trPr>
          <w:trHeight w:val="113" w:hRule="atLeast"/>
        </w:trPr>
        <w:tc>
          <w:tcPr>
            <w:tcW w:w="10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4"/>
              <w:tabs>
                <w:tab w:val="left" w:pos="567" w:leader="none"/>
                <w:tab w:val="left" w:pos="915" w:leader="none"/>
              </w:tabs>
              <w:spacing w:lineRule="auto" w:line="240" w:before="120" w:after="120"/>
              <w:ind w:left="0" w:hanging="0"/>
              <w:jc w:val="both"/>
              <w:rPr/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</w:rPr>
              <w:t>Командировочные расходы</w:t>
            </w:r>
          </w:p>
          <w:p>
            <w:pPr>
              <w:pStyle w:val="Normal"/>
              <w:tabs>
                <w:tab w:val="left" w:pos="567" w:leader="none"/>
                <w:tab w:val="left" w:pos="915" w:leader="none"/>
              </w:tabs>
              <w:spacing w:lineRule="auto" w:line="240"/>
              <w:ind w:left="0" w:hanging="0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</w:r>
          </w:p>
        </w:tc>
      </w:tr>
      <w:tr>
        <w:trPr>
          <w:trHeight w:val="113" w:hRule="atLeast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left="0" w:hanging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sz w:val="22"/>
                <w:szCs w:val="22"/>
                <w:lang w:eastAsia="ru-RU"/>
              </w:rPr>
              <w:t xml:space="preserve">Инструктаж метода Томатис третьего уровня. г. Москва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43 600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0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left="-108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43 6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00, 0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113" w:hRule="atLeast"/>
        </w:trPr>
        <w:tc>
          <w:tcPr>
            <w:tcW w:w="10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40"/>
              <w:ind w:left="0" w:hanging="0"/>
              <w:jc w:val="both"/>
              <w:rPr/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  <w:t>Офисные расходы (аренда нежилого помещения, коммунальные услуги, услуги связи, услуги банков, электронный документооборот, почтовые услуги, компьютерное оборудование и программное обеспечение (включая справочные информационные системы, бухгалтерское программное обеспечение), канцтовары и расходные материалы)</w:t>
            </w:r>
          </w:p>
          <w:p>
            <w:pPr>
              <w:pStyle w:val="ConsPlusNormal"/>
              <w:spacing w:lineRule="auto" w:line="240"/>
              <w:ind w:left="0" w:hang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</w:tc>
      </w:tr>
      <w:tr>
        <w:trPr>
          <w:trHeight w:val="113" w:hRule="atLeast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114" w:leader="none"/>
              </w:tabs>
              <w:spacing w:lineRule="auto" w:line="240"/>
              <w:ind w:left="0" w:hanging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sz w:val="22"/>
                <w:szCs w:val="22"/>
                <w:lang w:eastAsia="ru-RU"/>
              </w:rPr>
              <w:t>Коммунальные платежи</w:t>
              <w:tab/>
            </w:r>
          </w:p>
          <w:p>
            <w:pPr>
              <w:pStyle w:val="Normal"/>
              <w:tabs>
                <w:tab w:val="left" w:pos="3114" w:leader="none"/>
              </w:tabs>
              <w:spacing w:lineRule="auto" w:line="240"/>
              <w:ind w:left="0" w:hanging="0"/>
              <w:jc w:val="center"/>
              <w:rPr>
                <w:rFonts w:ascii="Times New Roman" w:hAnsi="Times New Roman"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113" w:hRule="atLeast"/>
        </w:trPr>
        <w:tc>
          <w:tcPr>
            <w:tcW w:w="10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4"/>
              <w:spacing w:lineRule="auto" w:line="240" w:before="120" w:after="12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  <w:t>Приобретение, аренда специализированного оборудования, инвентаря и сопутствующие расходы</w:t>
            </w:r>
          </w:p>
          <w:p>
            <w:pPr>
              <w:pStyle w:val="Normal"/>
              <w:spacing w:lineRule="auto" w:line="240"/>
              <w:jc w:val="left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</w:r>
          </w:p>
        </w:tc>
      </w:tr>
      <w:tr>
        <w:trPr>
          <w:trHeight w:val="113" w:hRule="atLeast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lef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Приобретение мини-гарнитуры марки Томатис модель TalksUp3, лицензия на право использования программного обеспечения TalksUp3 на 2 года, 4-х дневное обучение методике Томатис (3 уровень), беспроводные Wi-Fi наушники с костной проводимостью SoundMagic, модель WP10 с латерализацией (2 шт.).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387 866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0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left="-108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387 866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color w:val="000000"/>
                <w:sz w:val="22"/>
                <w:szCs w:val="24"/>
              </w:rPr>
              <w:t>-</w:t>
            </w:r>
          </w:p>
        </w:tc>
      </w:tr>
      <w:tr>
        <w:trPr>
          <w:trHeight w:val="113" w:hRule="atLeast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lef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Интерактивная песочница - стол "Домик"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210 000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0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210 000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113" w:hRule="atLeast"/>
        </w:trPr>
        <w:tc>
          <w:tcPr>
            <w:tcW w:w="85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left="0" w:hanging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Интерактивный комплекс "Играй и Развивайся" 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62 500, 0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62 500, 0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/>
              <w:jc w:val="center"/>
              <w:rPr/>
            </w:pPr>
            <w:r>
              <w:rPr/>
            </w:r>
          </w:p>
        </w:tc>
      </w:tr>
      <w:tr>
        <w:trPr>
          <w:trHeight w:val="113" w:hRule="atLeast"/>
        </w:trPr>
        <w:tc>
          <w:tcPr>
            <w:tcW w:w="85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left="0" w:hanging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Буто-маты (напольное покрытие)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24 000, 0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24 000, 0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/>
              <w:jc w:val="center"/>
              <w:rPr/>
            </w:pPr>
            <w:r>
              <w:rPr/>
            </w:r>
          </w:p>
        </w:tc>
      </w:tr>
      <w:tr>
        <w:trPr>
          <w:trHeight w:val="113" w:hRule="atLeast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lef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Итого по статье: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684 366, 0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684 366, 0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113" w:hRule="atLeast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lef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/>
            </w:pPr>
            <w:bookmarkStart w:id="0" w:name="__DdeLink__588_2838897228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1 336 980, 0</w:t>
            </w:r>
            <w:bookmarkEnd w:id="0"/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1 408 268, 0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71 288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0</w:t>
            </w:r>
          </w:p>
        </w:tc>
      </w:tr>
    </w:tbl>
    <w:p>
      <w:pPr>
        <w:pStyle w:val="Normal"/>
        <w:widowControl w:val="false"/>
        <w:spacing w:lineRule="auto" w:line="240"/>
        <w:ind w:left="0" w:right="0" w:firstLine="540"/>
        <w:jc w:val="both"/>
        <w:rPr>
          <w:rFonts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/>
        <w:ind w:left="0" w:right="0" w:firstLine="540"/>
        <w:jc w:val="both"/>
        <w:rPr>
          <w:rFonts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/>
        <w:ind w:left="0" w:right="0" w:firstLine="540"/>
        <w:jc w:val="both"/>
        <w:rPr>
          <w:rFonts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/>
        <w:ind w:left="0" w:right="0" w:hanging="0"/>
        <w:jc w:val="both"/>
        <w:rPr>
          <w:rFonts w:ascii="Times New Roman" w:hAnsi="Times New Roman" w:cs="Calibri"/>
          <w:sz w:val="24"/>
          <w:szCs w:val="24"/>
        </w:rPr>
      </w:pPr>
      <w:r>
        <w:rPr>
          <w:b w:val="false"/>
          <w:bCs w:val="false"/>
          <w:color w:val="auto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 Regular" w:cs="Lohit Devanagari"/>
      <w:color w:val="auto"/>
      <w:kern w:val="2"/>
      <w:sz w:val="24"/>
      <w:szCs w:val="24"/>
      <w:lang w:val="ru-RU" w:eastAsia="zh-CN" w:bidi="hi-IN"/>
    </w:rPr>
  </w:style>
  <w:style w:type="paragraph" w:styleId="4">
    <w:name w:val="Heading 4"/>
    <w:basedOn w:val="Style13"/>
    <w:qFormat/>
    <w:pPr>
      <w:spacing w:before="120" w:after="120"/>
      <w:outlineLvl w:val="3"/>
    </w:pPr>
    <w:rPr>
      <w:rFonts w:ascii="Liberation Serif" w:hAnsi="Liberation Serif" w:eastAsia="Noto Sans CJK SC Regular" w:cs="Lohit Devanagari"/>
      <w:b/>
      <w:bCs/>
      <w:sz w:val="24"/>
      <w:szCs w:val="24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ohit Devanagari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ohit Devanagari"/>
    </w:rPr>
  </w:style>
  <w:style w:type="paragraph" w:styleId="Style18">
    <w:name w:val="Горизонтальная линия"/>
    <w:basedOn w:val="Normal"/>
    <w:next w:val="Style14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1">
    <w:name w:val="Цитата1"/>
    <w:basedOn w:val="Normal"/>
    <w:qFormat/>
    <w:pPr>
      <w:spacing w:lineRule="auto" w:line="360"/>
      <w:ind w:left="-567" w:right="-766" w:firstLine="567"/>
      <w:jc w:val="both"/>
    </w:pPr>
    <w:rPr>
      <w:sz w:val="20"/>
    </w:rPr>
  </w:style>
  <w:style w:type="paragraph" w:styleId="ConsPlusNormal">
    <w:name w:val="ConsPlusNormal"/>
    <w:qFormat/>
    <w:pPr>
      <w:widowControl/>
      <w:suppressAutoHyphens w:val="true"/>
      <w:bidi w:val="0"/>
      <w:jc w:val="left"/>
    </w:pPr>
    <w:rPr>
      <w:rFonts w:ascii="Arial" w:hAnsi="Arial" w:eastAsia="Calibri" w:cs="Arial"/>
      <w:color w:val="auto"/>
      <w:kern w:val="2"/>
      <w:sz w:val="20"/>
      <w:szCs w:val="20"/>
      <w:lang w:val="ru-RU" w:eastAsia="zh-CN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LibreOffice/6.0.7.3$Linux_X86_64 LibreOffice_project/00m0$Build-3</Application>
  <Pages>2</Pages>
  <Words>533</Words>
  <Characters>3593</Characters>
  <CharactersWithSpaces>4070</CharactersWithSpaces>
  <Paragraphs>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2020-02-04T15:37:09Z</dcterms:created>
  <dc:creator/>
  <dc:description/>
  <dc:language>ru-RU</dc:language>
  <cp:lastModifiedBy/>
  <dcterms:modified xsi:type="dcterms:W3CDTF">2020-02-04T16:43:10Z</dcterms:modified>
  <cp:revision>1</cp:revision>
  <dc:subject/>
  <dc:title/>
</cp:coreProperties>
</file>