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Ф</w:t>
      </w:r>
      <w:r>
        <w:rPr>
          <w:rFonts w:ascii="Times New Roman" w:hAnsi="Times New Roman"/>
          <w:b w:val="false"/>
          <w:bCs w:val="false"/>
          <w:sz w:val="24"/>
          <w:szCs w:val="24"/>
        </w:rPr>
        <w:t>инансовый отчет</w:t>
      </w:r>
    </w:p>
    <w:p>
      <w:pPr>
        <w:pStyle w:val="Normal"/>
        <w:spacing w:lineRule="auto" w:line="276"/>
        <w:ind w:left="-454" w:right="0" w:hanging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о расходовании средств, предоставленных«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Калининградской региональной детско-молодежной общественной организации инвалидов «Мария»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по договору целевого благотворительного пожертвования в рамках благотворительной деятельности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№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17-2-001023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Фонд президентских грантов.</w:t>
      </w:r>
    </w:p>
    <w:p>
      <w:pPr>
        <w:pStyle w:val="Normal"/>
        <w:spacing w:lineRule="auto" w:line="276"/>
        <w:ind w:left="-454" w:right="0" w:hanging="0"/>
        <w:jc w:val="center"/>
        <w:rPr>
          <w:rFonts w:ascii="Times New Roman" w:hAnsi="Times New Roman" w:cs="Calibri"/>
          <w:b/>
          <w:b/>
          <w:i/>
          <w:i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color w:val="000000"/>
          <w:sz w:val="24"/>
          <w:szCs w:val="24"/>
        </w:rPr>
        <w:t>Развитие «Центра социальной реабилитации инвалидов» КРДМООИ «Мария».</w:t>
      </w:r>
    </w:p>
    <w:p>
      <w:pPr>
        <w:pStyle w:val="Normal"/>
        <w:spacing w:lineRule="auto" w:line="276"/>
        <w:ind w:left="-454" w:right="0" w:hanging="0"/>
        <w:jc w:val="center"/>
        <w:rPr>
          <w:b w:val="false"/>
          <w:b w:val="false"/>
          <w:bCs w:val="false"/>
        </w:rPr>
      </w:pPr>
      <w:r>
        <w:rPr>
          <w:rFonts w:cs="Calibri"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spacing w:lineRule="auto" w:line="276"/>
        <w:ind w:left="-454" w:right="0" w:hanging="0"/>
        <w:jc w:val="left"/>
        <w:rPr>
          <w:rFonts w:ascii="Times New Roman" w:hAnsi="Times New Roman" w:cs="Calibri"/>
          <w:b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Наименование организации «Калининградская региональная детско-молодёжная общественная организация инвалидов «Мария».</w:t>
        <w:tab/>
      </w:r>
    </w:p>
    <w:p>
      <w:pPr>
        <w:pStyle w:val="Normal"/>
        <w:spacing w:lineRule="auto" w:line="276"/>
        <w:ind w:left="-454" w:right="0" w:hanging="0"/>
        <w:jc w:val="left"/>
        <w:rPr>
          <w:b w:val="false"/>
          <w:b w:val="false"/>
          <w:bCs w:val="false"/>
        </w:rPr>
      </w:pPr>
      <w:r>
        <w:rPr>
          <w:rFonts w:cs="Calibri" w:ascii="Times New Roman" w:hAnsi="Times New Roman"/>
          <w:b/>
          <w:i/>
          <w:color w:val="000000"/>
          <w:sz w:val="24"/>
          <w:szCs w:val="24"/>
        </w:rPr>
      </w:r>
    </w:p>
    <w:p>
      <w:pPr>
        <w:pStyle w:val="1"/>
        <w:autoSpaceDE w:val="false"/>
        <w:spacing w:lineRule="auto" w:line="240"/>
        <w:ind w:left="-454" w:right="-737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Дата начала и окончания реализации проекта: </w:t>
      </w:r>
    </w:p>
    <w:p>
      <w:pPr>
        <w:pStyle w:val="Style14"/>
        <w:autoSpaceDE w:val="false"/>
        <w:spacing w:lineRule="auto" w:line="240"/>
        <w:ind w:left="-454" w:right="0" w:hanging="0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01.12.2017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г. по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30.11.2018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г.</w:t>
      </w:r>
    </w:p>
    <w:p>
      <w:pPr>
        <w:pStyle w:val="1"/>
        <w:autoSpaceDE w:val="false"/>
        <w:spacing w:lineRule="auto" w:line="240"/>
        <w:ind w:left="-45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Краткое описание проекта:</w:t>
      </w:r>
    </w:p>
    <w:p>
      <w:pPr>
        <w:pStyle w:val="Normal"/>
        <w:autoSpaceDE w:val="false"/>
        <w:spacing w:lineRule="auto" w:line="240"/>
        <w:ind w:left="-454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Более 90% наших воспитанников имеют сочетанные заболевания, сопровождающиеся нарушением речи. Для развития речи в Центре проходят занятия по музыкальной терапии, но для большей стимуляции речевого центра у воспитанников необходимо применение приборов, основанных на сенсорно-звуковой стимуляции. Сочетание этих двух методик дает отличный терапевтический эффект. После проведенного анализа приборов сенсорно-звуковой стимуляции мы остановились на стационарном приборе фирмы ТОМАТИС® TalksUp (http://www.tomatis.com). Приобретение оборудования, подготовка помещения, обучение специалиста первого уровня откроет новое направление в работе Центра. Повышение квалификации специалиста до второго уровня повысит качество оказываемой услуги. За 8 месяцев работы специалистов, комплексную реабилитацию по музыкальной терапии и сенсорно-звуковой стимуляции получат 30-35 воспитанников Центра. Проект позволит повысить качество жизни детей и взрослых с психическим, умственным, постинсультным нарушением, Синдромом Д</w:t>
      </w:r>
      <w:r>
        <w:rPr>
          <w:rFonts w:cs="Times New Roman" w:ascii="Times New Roman" w:hAnsi="Times New Roman"/>
          <w:color w:val="000000"/>
          <w:sz w:val="24"/>
          <w:szCs w:val="24"/>
        </w:rPr>
        <w:t>ауна, аутизмом, проживающих в Калининградской области. Остро стоит вопрос о создании сайта, где будет размещена информация об услугах, предоставляемых Центром и организацией: библиотека, правовой навигатор, новости, анонсы, программы, фильмы, фотографии, информационное сопровождение проекта Развитие «Центра социальной реабилитации инвалидов» КРДМООИ «Мария». Сайт позволит информировать население области о создании кабинета Томатис, где дети и взрослые инвалиды смогут получить безвозмездные сеансы сенсорно-звуковой стимуляции в течение проекта.</w:t>
      </w:r>
    </w:p>
    <w:p>
      <w:pPr>
        <w:pStyle w:val="Normal"/>
        <w:autoSpaceDE w:val="false"/>
        <w:spacing w:lineRule="auto" w:line="240"/>
        <w:ind w:left="-454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autoSpaceDE w:val="false"/>
        <w:spacing w:lineRule="auto" w:line="240"/>
        <w:ind w:left="-454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Общая сумма пожертвования : </w:t>
      </w:r>
      <w:r>
        <w:rPr>
          <w:rFonts w:ascii="Times New Roman" w:hAnsi="Times New Roman"/>
          <w:sz w:val="24"/>
          <w:szCs w:val="24"/>
        </w:rPr>
        <w:t xml:space="preserve">2 002 627,00 </w:t>
      </w:r>
      <w:r>
        <w:rPr>
          <w:rFonts w:ascii="Times New Roman" w:hAnsi="Times New Roman"/>
          <w:sz w:val="24"/>
          <w:szCs w:val="24"/>
        </w:rPr>
        <w:t>руб.</w:t>
      </w:r>
    </w:p>
    <w:p>
      <w:pPr>
        <w:pStyle w:val="Normal"/>
        <w:widowControl w:val="false"/>
        <w:tabs>
          <w:tab w:val="left" w:pos="8865" w:leader="none"/>
        </w:tabs>
        <w:autoSpaceDE w:val="false"/>
        <w:spacing w:lineRule="auto" w:line="240"/>
        <w:ind w:left="0" w:right="0" w:firstLine="540"/>
        <w:jc w:val="right"/>
        <w:rPr/>
      </w:pPr>
      <w:r>
        <w:rPr/>
      </w:r>
    </w:p>
    <w:tbl>
      <w:tblPr>
        <w:tblW w:w="10230" w:type="dxa"/>
        <w:jc w:val="left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5"/>
        <w:gridCol w:w="3405"/>
        <w:gridCol w:w="2220"/>
        <w:gridCol w:w="2205"/>
        <w:gridCol w:w="1545"/>
      </w:tblGrid>
      <w:tr>
        <w:trPr>
          <w:tblHeader w:val="true"/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№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п/п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Вид расходов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Профинансировано грантодающей организацией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Израсходовано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фактически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Вклад организации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/>
              <w:ind w:left="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оплату труда</w:t>
            </w:r>
          </w:p>
          <w:p>
            <w:pPr>
              <w:pStyle w:val="ConsPlusNormal"/>
              <w:spacing w:lineRule="auto" w:line="240"/>
              <w:ind w:left="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4"/>
              <w:spacing w:lineRule="auto" w:line="240" w:before="6" w:after="6"/>
              <w:ind w:lef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Оплата труда штатных работников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(руководитель проекта, бухгалтер проекта - занятость в проекте 30%; специалист Томатис-терапии — занятость в проекте 100%)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700 476,0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700 476,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4"/>
              <w:spacing w:lineRule="auto" w:line="240" w:before="6" w:after="6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Выплаты физическим лицам (за исключение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индивидуальных предпринимателей) за оказание ими услуг (выполнение работ) по гражданско-правовым договорам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(музыкальный терапевт — занятость в проекте 30 %)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" w:after="6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Итого по оплате труда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700 476,0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791 988,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4"/>
              <w:tabs>
                <w:tab w:val="left" w:pos="567" w:leader="none"/>
                <w:tab w:val="left" w:pos="915" w:leader="none"/>
              </w:tabs>
              <w:spacing w:lineRule="auto" w:line="240" w:before="120" w:after="12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</w:rPr>
              <w:t>омандировочные расходы</w:t>
            </w:r>
          </w:p>
          <w:p>
            <w:pPr>
              <w:pStyle w:val="Normal"/>
              <w:tabs>
                <w:tab w:val="left" w:pos="567" w:leader="none"/>
                <w:tab w:val="left" w:pos="915" w:leader="none"/>
              </w:tabs>
              <w:spacing w:lineRule="auto" w:line="240"/>
              <w:ind w:left="0" w:hanging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Обучение методу Томатис первого и второго уровня  </w:t>
            </w:r>
          </w:p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г. Москва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70 300,0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08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70 300,0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  <w:p>
            <w:pPr>
              <w:pStyle w:val="ConsPlusNormal"/>
              <w:spacing w:lineRule="auto" w:line="240"/>
              <w:ind w:left="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114" w:leader="none"/>
              </w:tabs>
              <w:spacing w:lineRule="auto" w:line="240"/>
              <w:ind w:left="0" w:hanging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Коммунальные платежи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ab/>
            </w:r>
          </w:p>
          <w:p>
            <w:pPr>
              <w:pStyle w:val="Normal"/>
              <w:tabs>
                <w:tab w:val="left" w:pos="3114" w:leader="none"/>
              </w:tabs>
              <w:spacing w:lineRule="auto" w:line="240"/>
              <w:ind w:left="0" w:hanging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4"/>
              <w:spacing w:lineRule="auto" w:line="240" w:before="120" w:after="12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риобретение, аренда специализированного оборудования, инвентаря и сопутствующие расходы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мини-гарнитуры марки Томатис модель TalksUp1, лицензия на право использования программного обеспечения TalksUp1 на 2 года, 3-х дневное обучение методике Томатис (1 уровень), беспроводные Wi-Fi наушники с костной проводимостью SoundMagic, модель WP10 (2 шт).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351 240,0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08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351 240,0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мини-гарнитуры марки Томатис модель TalksUp2, лицензия на право использования программного обеспечения TalksUp2 на 2 года, аудиометр модель Tomatis Listening Test System (TLTS). простая лицензия на право использования программного обеспечения Tomatis Listening Test System (TLTS), 4-х дневное обучение методике Томатис (2 уровень), беспроводные Wi-Fi наушники с костной проводимостью SoundMagic, модель WP10 с латерализацией (2 шт.).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817 011,0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817 011,0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Итого по статье: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1 168 251,0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1 168 251,0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4"/>
              <w:snapToGrid w:val="false"/>
              <w:spacing w:lineRule="auto" w:line="240" w:before="120" w:after="12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азработка и поддержка сайтов, информационных систем и иные аналогичные расходы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технического задания, разработка макета, реализация,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аренда хостинга и покупка домена, поддержка 7 месяцев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63 600,0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63 600,0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4"/>
              <w:snapToGrid w:val="false"/>
              <w:spacing w:lineRule="auto" w:line="240" w:before="120" w:after="12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асходы на проведение мероприятий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помещения кабинета Томатис-терапии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52 700,0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52 700,0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мебелью кабинета Томатис-терапии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67 500,0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67 500,0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Оборудование кабинета Томатис-терапии настольными играми и расходными материалами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30 000,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30 000, 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Итого по статье: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150 200,0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150 200,0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2 002 627,0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2 254 339,0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251 712,0</w:t>
            </w:r>
          </w:p>
        </w:tc>
      </w:tr>
    </w:tbl>
    <w:p>
      <w:pPr>
        <w:pStyle w:val="Normal"/>
        <w:widowControl w:val="false"/>
        <w:autoSpaceDE w:val="false"/>
        <w:spacing w:lineRule="auto" w:line="240"/>
        <w:ind w:left="0" w:right="0"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/>
        <w:ind w:left="0" w:right="0"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/>
        <w:ind w:left="0" w:right="0"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/>
        <w:ind w:left="0" w:right="0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sectPr>
      <w:type w:val="nextPage"/>
      <w:pgSz w:w="11906" w:h="16838"/>
      <w:pgMar w:left="1140" w:right="1127" w:header="0" w:top="56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autoSpaceDE w:val="false"/>
    </w:pPr>
    <w:rPr>
      <w:rFonts w:ascii="Arial" w:hAnsi="Arial" w:eastAsia="Calibri" w:cs="Arial"/>
      <w:color w:val="auto"/>
      <w:kern w:val="2"/>
      <w:sz w:val="20"/>
      <w:szCs w:val="20"/>
      <w:lang w:val="ru-RU" w:eastAsia="zh-CN" w:bidi="ar-SA"/>
    </w:rPr>
  </w:style>
  <w:style w:type="paragraph" w:styleId="1">
    <w:name w:val="Цитата1"/>
    <w:basedOn w:val="Normal"/>
    <w:qFormat/>
    <w:pPr>
      <w:autoSpaceDE w:val="false"/>
      <w:spacing w:lineRule="auto" w:line="360"/>
      <w:ind w:left="-567" w:right="-766" w:firstLine="567"/>
      <w:jc w:val="both"/>
    </w:pPr>
    <w:rPr>
      <w:sz w:val="20"/>
    </w:rPr>
  </w:style>
  <w:style w:type="paragraph" w:styleId="Style18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3</Pages>
  <Words>579</Words>
  <Characters>4113</Characters>
  <CharactersWithSpaces>4617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2019-02-26T22:37:06Z</dcterms:created>
  <dc:creator/>
  <dc:description/>
  <dc:language>ru-RU</dc:language>
  <cp:lastModifiedBy/>
  <dcterms:modified xsi:type="dcterms:W3CDTF">2019-02-26T23:54:34Z</dcterms:modified>
  <cp:revision>1</cp:revision>
  <dc:subject/>
  <dc:title/>
</cp:coreProperties>
</file>